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32" w:rsidRDefault="00A22C32" w:rsidP="00A22C32">
      <w:pPr>
        <w:spacing w:after="0" w:line="240" w:lineRule="auto"/>
        <w:ind w:left="426" w:hanging="426"/>
        <w:jc w:val="both"/>
        <w:rPr>
          <w:rFonts w:ascii="HelveticaNeueLT Std Lt" w:hAnsi="HelveticaNeueLT Std Lt" w:cs="Arial"/>
          <w:b/>
          <w:sz w:val="20"/>
          <w:szCs w:val="20"/>
        </w:rPr>
      </w:pPr>
      <w:bookmarkStart w:id="0" w:name="_GoBack"/>
      <w:bookmarkEnd w:id="0"/>
    </w:p>
    <w:p w:rsidR="00A22C32" w:rsidRDefault="00A22C32" w:rsidP="00141669">
      <w:pPr>
        <w:spacing w:after="0" w:line="240" w:lineRule="auto"/>
        <w:ind w:left="426" w:hanging="426"/>
        <w:rPr>
          <w:rFonts w:ascii="HelveticaNeueLT Std Lt" w:hAnsi="HelveticaNeueLT Std Lt" w:cs="Arial"/>
          <w:b/>
          <w:sz w:val="20"/>
          <w:szCs w:val="20"/>
        </w:rPr>
      </w:pPr>
    </w:p>
    <w:p w:rsidR="00A22C32" w:rsidRPr="00A22C32" w:rsidRDefault="00A22C32" w:rsidP="00A22C32">
      <w:pPr>
        <w:tabs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spacing w:after="0" w:line="240" w:lineRule="auto"/>
        <w:jc w:val="both"/>
        <w:rPr>
          <w:rFonts w:ascii="HelveticaNeueLT Std Lt" w:hAnsi="HelveticaNeueLT Std Lt" w:cs="Arial"/>
          <w:b/>
          <w:bCs/>
          <w:sz w:val="20"/>
          <w:szCs w:val="20"/>
        </w:rPr>
      </w:pPr>
      <w:r w:rsidRPr="00A22C32">
        <w:rPr>
          <w:rFonts w:ascii="HelveticaNeueLT Std Lt" w:hAnsi="HelveticaNeueLT Std Lt" w:cs="Arial"/>
          <w:b/>
          <w:bCs/>
          <w:sz w:val="20"/>
          <w:szCs w:val="20"/>
        </w:rPr>
        <w:t>EP-1-A.- DEMOLICIONES, DESMONTAJES Y DESMANTELAMIENTOS.</w:t>
      </w:r>
    </w:p>
    <w:p w:rsidR="00A22C32" w:rsidRPr="00A22C32" w:rsidRDefault="00A22C32" w:rsidP="00A22C32">
      <w:pPr>
        <w:tabs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spacing w:after="0" w:line="240" w:lineRule="auto"/>
        <w:jc w:val="both"/>
        <w:rPr>
          <w:rFonts w:ascii="HelveticaNeueLT Std Lt" w:hAnsi="HelveticaNeueLT Std Lt" w:cs="Arial"/>
          <w:b/>
          <w:bCs/>
          <w:sz w:val="20"/>
          <w:szCs w:val="20"/>
        </w:rPr>
      </w:pPr>
    </w:p>
    <w:p w:rsidR="00A22C32" w:rsidRPr="00A22C32" w:rsidRDefault="00A22C32" w:rsidP="00A22C32">
      <w:pPr>
        <w:tabs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spacing w:after="0" w:line="240" w:lineRule="auto"/>
        <w:jc w:val="both"/>
        <w:rPr>
          <w:rFonts w:ascii="HelveticaNeueLT Std Lt" w:hAnsi="HelveticaNeueLT Std Lt" w:cs="Arial"/>
          <w:sz w:val="20"/>
          <w:szCs w:val="20"/>
        </w:rPr>
      </w:pPr>
      <w:r w:rsidRPr="00A22C32">
        <w:rPr>
          <w:rFonts w:ascii="HelveticaNeueLT Std Lt" w:hAnsi="HelveticaNeueLT Std Lt" w:cs="Arial"/>
          <w:b/>
          <w:bCs/>
          <w:snapToGrid w:val="0"/>
          <w:sz w:val="20"/>
          <w:szCs w:val="20"/>
        </w:rPr>
        <w:t>Requisitos de ejecución.-</w:t>
      </w:r>
      <w:r w:rsidRPr="00A22C32">
        <w:rPr>
          <w:rFonts w:ascii="HelveticaNeueLT Std Lt" w:hAnsi="HelveticaNeueLT Std Lt" w:cs="Arial"/>
          <w:snapToGrid w:val="0"/>
          <w:sz w:val="20"/>
          <w:szCs w:val="20"/>
        </w:rPr>
        <w:t xml:space="preserve"> Las demoliciones, desmontajes y desmantelamientos se ejecutarán de acuerdo con lo señalado en el inciso 3.0704.01.E de </w:t>
      </w:r>
      <w:r w:rsidRPr="00A22C32">
        <w:rPr>
          <w:rFonts w:ascii="HelveticaNeueLT Std Lt" w:hAnsi="HelveticaNeueLT Std Lt" w:cs="Arial"/>
          <w:sz w:val="20"/>
          <w:szCs w:val="20"/>
        </w:rPr>
        <w:t>las Normas y Especificaciones para Estudios, Proyectos, Construcción e Instalaciones CAPFCE, Libro 3 Edición 1988 (Normas de construcción e instalaciones).</w:t>
      </w:r>
    </w:p>
    <w:p w:rsidR="00A22C32" w:rsidRPr="00A22C32" w:rsidRDefault="00A22C32" w:rsidP="00A22C32">
      <w:pPr>
        <w:tabs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spacing w:after="0" w:line="240" w:lineRule="auto"/>
        <w:jc w:val="both"/>
        <w:rPr>
          <w:rFonts w:ascii="HelveticaNeueLT Std Lt" w:hAnsi="HelveticaNeueLT Std Lt" w:cs="Arial"/>
          <w:sz w:val="20"/>
          <w:szCs w:val="20"/>
        </w:rPr>
      </w:pPr>
    </w:p>
    <w:p w:rsidR="00A22C32" w:rsidRPr="00A22C32" w:rsidRDefault="00A22C32" w:rsidP="00A22C32">
      <w:p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Arial"/>
          <w:b/>
          <w:bCs/>
          <w:sz w:val="20"/>
          <w:szCs w:val="20"/>
        </w:rPr>
      </w:pPr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 xml:space="preserve">Por tratarse de una obra a realizarse en un establecimiento educativo, de salud y/o público en funcionamiento, se deberá entregar un programa detallado para trabajos de demolición, desmontajes y desmantelamientos, donde conste una propuesta concreta y sistemática de la metodología a utilizar en dichos procesos, la forma de protección de los sectores sin intervención, el método de eliminación y retiro de escombros, reducción de polvo en suspensión, etc., a fin de no afectar el normal funcionamiento del establecimiento. Para el retiro de los escombros y otros materiales se deberá solicitar la autorización de la Supervisión de Obra y de las Autoridades del establecimiento (Hospital, escuela, etc.) para fijar horarios que no interfieran con el funcionamiento del mismo y el destino de los elementos. Aquellos elementos provenientes de la demolición, desmontaje o desmantelamiento que a juicio de las Autoridades deban ser reutilizadas por el Establecimiento (Hospital, escuela, etc.) o resulten de interés ante su </w:t>
      </w:r>
      <w:proofErr w:type="spellStart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>refuncionalización</w:t>
      </w:r>
      <w:proofErr w:type="spellEnd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>, serán enviados a depósitos, talleres u otra Dependencia que indiquen las mismas.</w:t>
      </w:r>
      <w:r w:rsidRPr="00A22C32">
        <w:rPr>
          <w:rFonts w:ascii="HelveticaNeueLT Std Lt" w:hAnsi="HelveticaNeueLT Std Lt" w:cs="Arial"/>
          <w:b/>
          <w:bCs/>
          <w:sz w:val="20"/>
          <w:szCs w:val="20"/>
        </w:rPr>
        <w:t xml:space="preserve"> </w:t>
      </w:r>
    </w:p>
    <w:p w:rsidR="00A22C32" w:rsidRPr="00A22C32" w:rsidRDefault="00A22C32" w:rsidP="00A22C32">
      <w:pPr>
        <w:tabs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spacing w:after="0" w:line="240" w:lineRule="auto"/>
        <w:jc w:val="both"/>
        <w:rPr>
          <w:rFonts w:ascii="HelveticaNeueLT Std Lt" w:hAnsi="HelveticaNeueLT Std Lt" w:cs="Arial"/>
          <w:snapToGrid w:val="0"/>
          <w:sz w:val="20"/>
          <w:szCs w:val="20"/>
        </w:rPr>
      </w:pPr>
    </w:p>
    <w:p w:rsidR="00A22C32" w:rsidRPr="00A22C32" w:rsidRDefault="00A22C32" w:rsidP="00A22C32">
      <w:p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Arial"/>
          <w:sz w:val="20"/>
          <w:szCs w:val="20"/>
          <w:lang w:eastAsia="ko-KR"/>
        </w:rPr>
      </w:pPr>
      <w:r w:rsidRPr="00A22C32">
        <w:rPr>
          <w:rFonts w:ascii="HelveticaNeueLT Std Lt" w:hAnsi="HelveticaNeueLT Std Lt" w:cs="Arial"/>
          <w:b/>
          <w:sz w:val="20"/>
          <w:szCs w:val="20"/>
          <w:lang w:eastAsia="ko-KR"/>
        </w:rPr>
        <w:t>Criterio de medición.-</w:t>
      </w:r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 xml:space="preserve"> Para las demoliciones, desmontajes y desmantelamientos se usará el metro cúbico, metro cuadrado, pieza, o la medida que indique el concepto de trabajo, la medición se hará en la propia obra antes de demolerla.</w:t>
      </w:r>
    </w:p>
    <w:p w:rsidR="00A22C32" w:rsidRPr="00A22C32" w:rsidRDefault="00A22C32" w:rsidP="00A22C32">
      <w:p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Arial"/>
          <w:sz w:val="20"/>
          <w:szCs w:val="20"/>
          <w:lang w:eastAsia="ko-KR"/>
        </w:rPr>
      </w:pPr>
    </w:p>
    <w:p w:rsidR="00A22C32" w:rsidRPr="00A22C32" w:rsidRDefault="00A22C32" w:rsidP="00A22C32">
      <w:pPr>
        <w:autoSpaceDE w:val="0"/>
        <w:autoSpaceDN w:val="0"/>
        <w:adjustRightInd w:val="0"/>
        <w:spacing w:after="0" w:line="240" w:lineRule="auto"/>
        <w:jc w:val="both"/>
        <w:rPr>
          <w:rFonts w:ascii="HelveticaNeueLT Std Lt" w:hAnsi="HelveticaNeueLT Std Lt" w:cs="Arial"/>
          <w:sz w:val="20"/>
          <w:szCs w:val="20"/>
          <w:lang w:eastAsia="ko-KR"/>
        </w:rPr>
      </w:pPr>
      <w:r w:rsidRPr="00A22C32">
        <w:rPr>
          <w:rFonts w:ascii="HelveticaNeueLT Std Lt" w:hAnsi="HelveticaNeueLT Std Lt" w:cs="Arial"/>
          <w:b/>
          <w:sz w:val="20"/>
          <w:szCs w:val="20"/>
          <w:lang w:eastAsia="ko-KR"/>
        </w:rPr>
        <w:t>Base de pago.-</w:t>
      </w:r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 xml:space="preserve"> Para efectos de pago de las demoliciones, desmontajes y desmantelamientos, se considerará la medida que indique el concepto de trabajo, debiéndose incluir en el precio unitario el acarreo de desmontado </w:t>
      </w:r>
      <w:proofErr w:type="spellStart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>ó</w:t>
      </w:r>
      <w:proofErr w:type="spellEnd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 xml:space="preserve"> desmantelado hasta el lugar </w:t>
      </w:r>
      <w:proofErr w:type="spellStart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>ó</w:t>
      </w:r>
      <w:proofErr w:type="spellEnd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 xml:space="preserve"> </w:t>
      </w:r>
      <w:proofErr w:type="spellStart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>almacen</w:t>
      </w:r>
      <w:proofErr w:type="spellEnd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 xml:space="preserve"> indicado por la supervisión, y el material demolido hasta el banco de desperdicio indicado por la supervisión, mano de obra, limpieza, fletes, acarreos, maniobras, herramienta, maquinaria y equipo, transporte, a cualquier altura y en cualquier nivel, los vehículos </w:t>
      </w:r>
      <w:proofErr w:type="spellStart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>ó</w:t>
      </w:r>
      <w:proofErr w:type="spellEnd"/>
      <w:r w:rsidRPr="00A22C32">
        <w:rPr>
          <w:rFonts w:ascii="HelveticaNeueLT Std Lt" w:hAnsi="HelveticaNeueLT Std Lt" w:cs="Arial"/>
          <w:sz w:val="20"/>
          <w:szCs w:val="20"/>
          <w:lang w:eastAsia="ko-KR"/>
        </w:rPr>
        <w:t xml:space="preserve"> maquinaria utilizados durante las cargas y las descargas, equipo de seguridad, y lo señalado en el inciso 3.0704.01.G.14 de las Normas y Especificaciones para Estudios, Proyectos, Construcción e Instalaciones CAPFCE, Libro 3 Edición 1988 (Normas de construcción e instalaciones).</w:t>
      </w:r>
    </w:p>
    <w:p w:rsidR="005C172A" w:rsidRDefault="005C172A" w:rsidP="00E84744">
      <w:pPr>
        <w:spacing w:after="0" w:line="240" w:lineRule="auto"/>
        <w:rPr>
          <w:rFonts w:ascii="HelveticaNeueLT Std Lt" w:hAnsi="HelveticaNeueLT Std Lt" w:cs="Arial"/>
          <w:b/>
          <w:sz w:val="20"/>
          <w:szCs w:val="20"/>
        </w:rPr>
      </w:pPr>
    </w:p>
    <w:p w:rsidR="005C172A" w:rsidRPr="00AB7467" w:rsidRDefault="005C172A" w:rsidP="00E84744">
      <w:pPr>
        <w:spacing w:after="0" w:line="240" w:lineRule="auto"/>
        <w:rPr>
          <w:rFonts w:ascii="HelveticaNeueLT Std Lt" w:hAnsi="HelveticaNeueLT Std Lt" w:cs="Arial"/>
          <w:sz w:val="20"/>
          <w:szCs w:val="20"/>
        </w:rPr>
      </w:pPr>
    </w:p>
    <w:p w:rsidR="005C172A" w:rsidRPr="00F3270E" w:rsidRDefault="005C172A" w:rsidP="00141669">
      <w:pPr>
        <w:spacing w:after="0" w:line="240" w:lineRule="auto"/>
        <w:rPr>
          <w:rFonts w:ascii="HelveticaNeueLT Std Lt" w:hAnsi="HelveticaNeueLT Std Lt" w:cs="Arial"/>
          <w:szCs w:val="24"/>
        </w:rPr>
      </w:pPr>
      <w:r w:rsidRPr="005C172A">
        <w:rPr>
          <w:rFonts w:ascii="HelveticaNeueLT Std Lt" w:hAnsi="HelveticaNeueLT Std Lt" w:cs="Arial"/>
          <w:b/>
          <w:sz w:val="20"/>
          <w:szCs w:val="20"/>
        </w:rPr>
        <w:t xml:space="preserve"> </w:t>
      </w:r>
    </w:p>
    <w:sectPr w:rsidR="005C172A" w:rsidRPr="00F3270E" w:rsidSect="00D51A49">
      <w:pgSz w:w="12240" w:h="15840"/>
      <w:pgMar w:top="993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 L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117A"/>
    <w:multiLevelType w:val="hybridMultilevel"/>
    <w:tmpl w:val="400ECEC4"/>
    <w:lvl w:ilvl="0" w:tplc="95B4A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6D04DD"/>
    <w:multiLevelType w:val="hybridMultilevel"/>
    <w:tmpl w:val="400ECEC4"/>
    <w:lvl w:ilvl="0" w:tplc="95B4A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B15F76"/>
    <w:multiLevelType w:val="hybridMultilevel"/>
    <w:tmpl w:val="400ECEC4"/>
    <w:lvl w:ilvl="0" w:tplc="95B4A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934E7C"/>
    <w:multiLevelType w:val="hybridMultilevel"/>
    <w:tmpl w:val="400ECEC4"/>
    <w:lvl w:ilvl="0" w:tplc="95B4A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2450F7"/>
    <w:multiLevelType w:val="hybridMultilevel"/>
    <w:tmpl w:val="ED9898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49"/>
    <w:rsid w:val="0000313F"/>
    <w:rsid w:val="0002697A"/>
    <w:rsid w:val="00034452"/>
    <w:rsid w:val="000B2F2A"/>
    <w:rsid w:val="000D49A4"/>
    <w:rsid w:val="000E496D"/>
    <w:rsid w:val="00101641"/>
    <w:rsid w:val="00106230"/>
    <w:rsid w:val="00117DF6"/>
    <w:rsid w:val="00141669"/>
    <w:rsid w:val="001C198B"/>
    <w:rsid w:val="00207E1E"/>
    <w:rsid w:val="00222C17"/>
    <w:rsid w:val="00222E06"/>
    <w:rsid w:val="00272189"/>
    <w:rsid w:val="003054E3"/>
    <w:rsid w:val="003453E1"/>
    <w:rsid w:val="003874F3"/>
    <w:rsid w:val="003D37CE"/>
    <w:rsid w:val="004B7A46"/>
    <w:rsid w:val="0050715E"/>
    <w:rsid w:val="00532A49"/>
    <w:rsid w:val="00534E5A"/>
    <w:rsid w:val="005A686B"/>
    <w:rsid w:val="005C172A"/>
    <w:rsid w:val="00612B93"/>
    <w:rsid w:val="006403B7"/>
    <w:rsid w:val="006B3ED3"/>
    <w:rsid w:val="006C29F1"/>
    <w:rsid w:val="006C5B77"/>
    <w:rsid w:val="006E20E3"/>
    <w:rsid w:val="006F194C"/>
    <w:rsid w:val="0076592D"/>
    <w:rsid w:val="00782A11"/>
    <w:rsid w:val="007B5523"/>
    <w:rsid w:val="00881C75"/>
    <w:rsid w:val="008B39BC"/>
    <w:rsid w:val="008B79B8"/>
    <w:rsid w:val="008C0DD9"/>
    <w:rsid w:val="008D03EE"/>
    <w:rsid w:val="008E7707"/>
    <w:rsid w:val="00913489"/>
    <w:rsid w:val="009506F7"/>
    <w:rsid w:val="00972992"/>
    <w:rsid w:val="00A07717"/>
    <w:rsid w:val="00A22C32"/>
    <w:rsid w:val="00A3621F"/>
    <w:rsid w:val="00A533C6"/>
    <w:rsid w:val="00A77C26"/>
    <w:rsid w:val="00AB1B76"/>
    <w:rsid w:val="00AB7467"/>
    <w:rsid w:val="00AF1B9F"/>
    <w:rsid w:val="00AF1C92"/>
    <w:rsid w:val="00BF3AE1"/>
    <w:rsid w:val="00C84C13"/>
    <w:rsid w:val="00D51A49"/>
    <w:rsid w:val="00E30E1D"/>
    <w:rsid w:val="00E84744"/>
    <w:rsid w:val="00EB2C47"/>
    <w:rsid w:val="00EB35CB"/>
    <w:rsid w:val="00EC4982"/>
    <w:rsid w:val="00F63B82"/>
    <w:rsid w:val="00F70784"/>
    <w:rsid w:val="00F74B20"/>
    <w:rsid w:val="00FC1BEF"/>
    <w:rsid w:val="00FD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qFormat/>
    <w:rsid w:val="00AB7467"/>
    <w:pPr>
      <w:keepNext/>
      <w:tabs>
        <w:tab w:val="left" w:pos="-720"/>
      </w:tabs>
      <w:spacing w:after="0" w:line="240" w:lineRule="auto"/>
      <w:ind w:left="709" w:hanging="709"/>
      <w:jc w:val="both"/>
      <w:outlineLvl w:val="3"/>
    </w:pPr>
    <w:rPr>
      <w:rFonts w:ascii="Arial" w:eastAsia="Times New Roman" w:hAnsi="Arial" w:cs="Arial"/>
      <w:b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B35C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B35CB"/>
    <w:rPr>
      <w:rFonts w:ascii="Arial" w:eastAsia="Times New Roman" w:hAnsi="Arial" w:cs="Times New Roman"/>
      <w:sz w:val="24"/>
      <w:szCs w:val="20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AB7467"/>
    <w:rPr>
      <w:rFonts w:ascii="Arial" w:eastAsia="Times New Roman" w:hAnsi="Arial" w:cs="Arial"/>
      <w:b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qFormat/>
    <w:rsid w:val="00AB7467"/>
    <w:pPr>
      <w:keepNext/>
      <w:tabs>
        <w:tab w:val="left" w:pos="-720"/>
      </w:tabs>
      <w:spacing w:after="0" w:line="240" w:lineRule="auto"/>
      <w:ind w:left="709" w:hanging="709"/>
      <w:jc w:val="both"/>
      <w:outlineLvl w:val="3"/>
    </w:pPr>
    <w:rPr>
      <w:rFonts w:ascii="Arial" w:eastAsia="Times New Roman" w:hAnsi="Arial" w:cs="Arial"/>
      <w:b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B35C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B35CB"/>
    <w:rPr>
      <w:rFonts w:ascii="Arial" w:eastAsia="Times New Roman" w:hAnsi="Arial" w:cs="Times New Roman"/>
      <w:sz w:val="24"/>
      <w:szCs w:val="20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AB7467"/>
    <w:rPr>
      <w:rFonts w:ascii="Arial" w:eastAsia="Times New Roman" w:hAnsi="Arial" w:cs="Arial"/>
      <w:b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388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TAMAULIPAS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 Mendiola Ortiz</dc:creator>
  <cp:lastModifiedBy>Maria Fernanda Coronado Perez</cp:lastModifiedBy>
  <cp:revision>31</cp:revision>
  <dcterms:created xsi:type="dcterms:W3CDTF">2014-07-04T16:46:00Z</dcterms:created>
  <dcterms:modified xsi:type="dcterms:W3CDTF">2017-09-19T23:56:00Z</dcterms:modified>
</cp:coreProperties>
</file>